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6"/>
        <w:gridCol w:w="1402"/>
        <w:gridCol w:w="2348"/>
        <w:gridCol w:w="2657"/>
        <w:gridCol w:w="1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140" w:type="dxa"/>
            <w:gridSpan w:val="5"/>
            <w:noWrap w:val="0"/>
            <w:vAlign w:val="center"/>
          </w:tcPr>
          <w:p>
            <w:pPr>
              <w:widowControl/>
              <w:jc w:val="center"/>
              <w:textAlignment w:val="center"/>
              <w:rPr>
                <w:rFonts w:hint="eastAsia" w:ascii="仿宋" w:hAnsi="仿宋" w:eastAsia="仿宋" w:cs="仿宋"/>
                <w:b/>
                <w:color w:val="000000"/>
                <w:kern w:val="0"/>
                <w:sz w:val="32"/>
                <w:szCs w:val="32"/>
                <w:lang w:bidi="ar"/>
              </w:rPr>
            </w:pPr>
            <w:bookmarkStart w:id="2" w:name="_GoBack"/>
            <w:r>
              <w:rPr>
                <w:rFonts w:hint="eastAsia" w:ascii="仿宋" w:hAnsi="仿宋" w:eastAsia="仿宋" w:cs="仿宋"/>
                <w:b/>
                <w:color w:val="000000"/>
                <w:kern w:val="0"/>
                <w:sz w:val="32"/>
                <w:szCs w:val="32"/>
                <w:lang w:bidi="ar"/>
              </w:rPr>
              <w:t>202</w:t>
            </w:r>
            <w:r>
              <w:rPr>
                <w:rFonts w:ascii="仿宋" w:hAnsi="仿宋" w:eastAsia="仿宋" w:cs="仿宋"/>
                <w:b/>
                <w:color w:val="000000"/>
                <w:kern w:val="0"/>
                <w:sz w:val="32"/>
                <w:szCs w:val="32"/>
                <w:lang w:bidi="ar"/>
              </w:rPr>
              <w:t>3</w:t>
            </w:r>
            <w:r>
              <w:rPr>
                <w:rFonts w:hint="eastAsia" w:ascii="仿宋" w:hAnsi="仿宋" w:eastAsia="仿宋" w:cs="仿宋"/>
                <w:b/>
                <w:color w:val="000000"/>
                <w:kern w:val="0"/>
                <w:sz w:val="32"/>
                <w:szCs w:val="32"/>
                <w:lang w:bidi="ar"/>
              </w:rPr>
              <w:t>年寒假上海赴外·国际组织实习生预备营行程示例</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96" w:type="dxa"/>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日期</w:t>
            </w:r>
          </w:p>
        </w:tc>
        <w:tc>
          <w:tcPr>
            <w:tcW w:w="1402" w:type="dxa"/>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主题</w:t>
            </w:r>
          </w:p>
        </w:tc>
        <w:tc>
          <w:tcPr>
            <w:tcW w:w="2348" w:type="dxa"/>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导师</w:t>
            </w:r>
          </w:p>
        </w:tc>
        <w:tc>
          <w:tcPr>
            <w:tcW w:w="2657" w:type="dxa"/>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行程安排</w:t>
            </w:r>
          </w:p>
        </w:tc>
        <w:tc>
          <w:tcPr>
            <w:tcW w:w="1237" w:type="dxa"/>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1496"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第一天</w:t>
            </w:r>
          </w:p>
        </w:tc>
        <w:tc>
          <w:tcPr>
            <w:tcW w:w="1402"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线上开营</w:t>
            </w:r>
          </w:p>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仪式</w:t>
            </w:r>
          </w:p>
        </w:tc>
        <w:tc>
          <w:tcPr>
            <w:tcW w:w="2348"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上海赴外文化交流中心--陈超主任</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上海赴外文化交流中心陈超主任致欢迎词及预备营介绍</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预备营实训主题及任务安排</w:t>
            </w:r>
          </w:p>
        </w:tc>
        <w:tc>
          <w:tcPr>
            <w:tcW w:w="1237"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trPr>
        <w:tc>
          <w:tcPr>
            <w:tcW w:w="1496"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第二天</w:t>
            </w:r>
          </w:p>
        </w:tc>
        <w:tc>
          <w:tcPr>
            <w:tcW w:w="1402"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国际组织</w:t>
            </w:r>
          </w:p>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课程</w:t>
            </w:r>
          </w:p>
        </w:tc>
        <w:tc>
          <w:tcPr>
            <w:tcW w:w="2348" w:type="dxa"/>
            <w:noWrap w:val="0"/>
            <w:vAlign w:val="center"/>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北京师范大学国际NGO 与基金会研究中心主任</w:t>
            </w:r>
            <w:r>
              <w:rPr>
                <w:rFonts w:hint="eastAsia" w:ascii="仿宋" w:hAnsi="仿宋" w:eastAsia="仿宋" w:cs="仿宋"/>
                <w:color w:val="000000"/>
                <w:szCs w:val="21"/>
                <w:lang w:eastAsia="zh-CN"/>
              </w:rPr>
              <w:t>—</w:t>
            </w:r>
            <w:r>
              <w:rPr>
                <w:rFonts w:hint="eastAsia" w:ascii="仿宋" w:hAnsi="仿宋" w:eastAsia="仿宋" w:cs="仿宋"/>
                <w:color w:val="000000"/>
                <w:szCs w:val="21"/>
              </w:rPr>
              <w:t>导师杨丽教授</w:t>
            </w:r>
          </w:p>
        </w:tc>
        <w:tc>
          <w:tcPr>
            <w:tcW w:w="2657" w:type="dxa"/>
            <w:noWrap w:val="0"/>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后疫情时代中国社会组织国际化问题与对策——基于124个社会组织调查分析</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1496"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第三天</w:t>
            </w:r>
          </w:p>
        </w:tc>
        <w:tc>
          <w:tcPr>
            <w:tcW w:w="1402"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全球中央对手方协会（CCP12）领导主题分享</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CCP1</w:t>
            </w:r>
            <w:r>
              <w:rPr>
                <w:rFonts w:ascii="仿宋" w:hAnsi="仿宋" w:eastAsia="仿宋" w:cs="仿宋"/>
                <w:color w:val="000000"/>
                <w:szCs w:val="21"/>
              </w:rPr>
              <w:t>2--</w:t>
            </w:r>
            <w:r>
              <w:rPr>
                <w:rFonts w:hint="eastAsia" w:ascii="仿宋" w:hAnsi="仿宋" w:eastAsia="仿宋" w:cs="仿宋"/>
                <w:color w:val="000000"/>
                <w:szCs w:val="21"/>
              </w:rPr>
              <w:t>TEO秘书长</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课题训练（全程英文）</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CCP12介绍（背景、运作模式、工作分工）</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CCP12需要什么样的人才及要求</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Zoom会议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496"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第四天</w:t>
            </w:r>
          </w:p>
        </w:tc>
        <w:tc>
          <w:tcPr>
            <w:tcW w:w="1402"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国际组织实习工作经验主题分享</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原卫生部外事司司长、世界卫生组织前联合国改革与伙伴关系协调员</w:t>
            </w:r>
            <w:r>
              <w:rPr>
                <w:rFonts w:ascii="仿宋" w:hAnsi="仿宋" w:eastAsia="仿宋" w:cs="仿宋"/>
                <w:color w:val="000000"/>
                <w:szCs w:val="21"/>
              </w:rPr>
              <w:t>—</w:t>
            </w:r>
            <w:r>
              <w:rPr>
                <w:rFonts w:hint="eastAsia" w:ascii="仿宋" w:hAnsi="仿宋" w:eastAsia="仿宋" w:cs="仿宋"/>
                <w:color w:val="000000"/>
                <w:szCs w:val="21"/>
              </w:rPr>
              <w:t>导师宋允孚司长</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厚植家国情怀 逐梦国际组织（国际组织重要地位、国际组织运作原则、国际胜任力培养）</w:t>
            </w:r>
          </w:p>
        </w:tc>
        <w:tc>
          <w:tcPr>
            <w:tcW w:w="1237"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496" w:type="dxa"/>
            <w:vMerge w:val="continue"/>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noWrap w:val="0"/>
            <w:vAlign w:val="center"/>
          </w:tcPr>
          <w:p>
            <w:pPr>
              <w:widowControl/>
              <w:jc w:val="center"/>
              <w:textAlignment w:val="center"/>
              <w:rPr>
                <w:rFonts w:hint="eastAsia" w:ascii="仿宋" w:hAnsi="仿宋" w:eastAsia="仿宋" w:cs="仿宋"/>
                <w:color w:val="000000"/>
                <w:szCs w:val="21"/>
              </w:rPr>
            </w:pPr>
          </w:p>
        </w:tc>
        <w:tc>
          <w:tcPr>
            <w:tcW w:w="2348" w:type="dxa"/>
            <w:noWrap w:val="0"/>
            <w:vAlign w:val="center"/>
          </w:tcPr>
          <w:p>
            <w:pPr>
              <w:widowControl/>
              <w:jc w:val="center"/>
              <w:textAlignment w:val="center"/>
              <w:rPr>
                <w:rFonts w:hint="eastAsia" w:ascii="仿宋" w:hAnsi="仿宋" w:eastAsia="仿宋" w:cs="仿宋"/>
                <w:color w:val="000000"/>
                <w:szCs w:val="21"/>
              </w:rPr>
            </w:pPr>
            <w:bookmarkStart w:id="0" w:name="OLE_LINK1"/>
            <w:bookmarkStart w:id="1" w:name="OLE_LINK2"/>
            <w:r>
              <w:rPr>
                <w:rFonts w:hint="eastAsia" w:ascii="仿宋" w:hAnsi="仿宋" w:eastAsia="仿宋" w:cs="仿宋"/>
                <w:color w:val="000000"/>
                <w:szCs w:val="21"/>
              </w:rPr>
              <w:t>外交部南南合作促进会上海办主任—洪涌清</w:t>
            </w:r>
            <w:bookmarkEnd w:id="0"/>
            <w:bookmarkEnd w:id="1"/>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外交/商务礼仪及中西方文化的比较和欣赏</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1496"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第五天</w:t>
            </w:r>
          </w:p>
        </w:tc>
        <w:tc>
          <w:tcPr>
            <w:tcW w:w="1402"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国际组织实习工作经验主题分享</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原卫生部外事司司长、世界卫生组织前联合国改革与伙伴关系协调员</w:t>
            </w:r>
            <w:r>
              <w:rPr>
                <w:rFonts w:ascii="仿宋" w:hAnsi="仿宋" w:eastAsia="仿宋" w:cs="仿宋"/>
                <w:color w:val="000000"/>
                <w:szCs w:val="21"/>
              </w:rPr>
              <w:t>—</w:t>
            </w:r>
            <w:r>
              <w:rPr>
                <w:rFonts w:hint="eastAsia" w:ascii="仿宋" w:hAnsi="仿宋" w:eastAsia="仿宋" w:cs="仿宋"/>
                <w:color w:val="000000"/>
                <w:szCs w:val="21"/>
              </w:rPr>
              <w:t>导师宋允孚司长</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如何竞聘国际组织职员（招聘要求、考核要求、应聘须知）</w:t>
            </w:r>
          </w:p>
        </w:tc>
        <w:tc>
          <w:tcPr>
            <w:tcW w:w="1237"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496" w:type="dxa"/>
            <w:vMerge w:val="continue"/>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noWrap w:val="0"/>
            <w:vAlign w:val="center"/>
          </w:tcPr>
          <w:p>
            <w:pPr>
              <w:widowControl/>
              <w:jc w:val="center"/>
              <w:textAlignment w:val="center"/>
              <w:rPr>
                <w:rFonts w:hint="eastAsia" w:ascii="仿宋" w:hAnsi="仿宋" w:eastAsia="仿宋" w:cs="仿宋"/>
                <w:color w:val="000000"/>
                <w:szCs w:val="21"/>
              </w:rPr>
            </w:pPr>
          </w:p>
        </w:tc>
        <w:tc>
          <w:tcPr>
            <w:tcW w:w="2348"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外交部南南合作促进会上海办主任—洪涌清</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联合国组织机构介绍</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欧盟组织机构介绍</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496"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第六天</w:t>
            </w:r>
          </w:p>
        </w:tc>
        <w:tc>
          <w:tcPr>
            <w:tcW w:w="1402"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国际组织实习工作经验主题分享</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FAO（联合国粮食及农业组织）实习员工</w:t>
            </w:r>
            <w:r>
              <w:rPr>
                <w:rFonts w:hint="eastAsia" w:ascii="仿宋" w:hAnsi="仿宋" w:eastAsia="仿宋" w:cs="仿宋"/>
                <w:color w:val="000000"/>
                <w:szCs w:val="21"/>
                <w:lang w:eastAsia="zh-CN"/>
              </w:rPr>
              <w:t>—</w:t>
            </w:r>
            <w:r>
              <w:rPr>
                <w:rFonts w:hint="eastAsia" w:ascii="仿宋" w:hAnsi="仿宋" w:eastAsia="仿宋" w:cs="仿宋"/>
                <w:color w:val="000000"/>
                <w:szCs w:val="21"/>
              </w:rPr>
              <w:t>导师高磊博士</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在FAO（联合国粮食及农业组织）实习的九个月</w:t>
            </w:r>
          </w:p>
        </w:tc>
        <w:tc>
          <w:tcPr>
            <w:tcW w:w="1237" w:type="dxa"/>
            <w:vMerge w:val="restart"/>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腾</w:t>
            </w:r>
            <w:r>
              <w:rPr>
                <w:rFonts w:hint="eastAsia" w:ascii="仿宋" w:hAnsi="仿宋" w:eastAsia="仿宋" w:cs="仿宋"/>
                <w:color w:val="000000"/>
                <w:szCs w:val="21"/>
              </w:rPr>
              <w:t>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496" w:type="dxa"/>
            <w:vMerge w:val="continue"/>
            <w:noWrap w:val="0"/>
            <w:vAlign w:val="center"/>
          </w:tcPr>
          <w:p>
            <w:pPr>
              <w:widowControl/>
              <w:jc w:val="center"/>
              <w:textAlignment w:val="center"/>
              <w:rPr>
                <w:rFonts w:ascii="仿宋" w:hAnsi="仿宋" w:eastAsia="仿宋" w:cs="仿宋"/>
                <w:color w:val="000000"/>
                <w:szCs w:val="21"/>
              </w:rPr>
            </w:pPr>
          </w:p>
        </w:tc>
        <w:tc>
          <w:tcPr>
            <w:tcW w:w="1402" w:type="dxa"/>
            <w:vMerge w:val="continue"/>
            <w:noWrap w:val="0"/>
            <w:vAlign w:val="center"/>
          </w:tcPr>
          <w:p>
            <w:pPr>
              <w:widowControl/>
              <w:jc w:val="center"/>
              <w:textAlignment w:val="center"/>
              <w:rPr>
                <w:rFonts w:hint="eastAsia" w:ascii="仿宋" w:hAnsi="仿宋" w:eastAsia="仿宋" w:cs="仿宋"/>
                <w:color w:val="000000"/>
                <w:szCs w:val="21"/>
              </w:rPr>
            </w:pP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原联合国纽约总部全球传播部新闻媒体司网站事务科实习员工</w:t>
            </w:r>
            <w:r>
              <w:rPr>
                <w:rFonts w:ascii="仿宋" w:hAnsi="仿宋" w:eastAsia="仿宋" w:cs="仿宋"/>
                <w:color w:val="000000"/>
                <w:szCs w:val="21"/>
              </w:rPr>
              <w:t>—</w:t>
            </w:r>
            <w:r>
              <w:rPr>
                <w:rFonts w:hint="eastAsia" w:ascii="仿宋" w:hAnsi="仿宋" w:eastAsia="仿宋" w:cs="仿宋"/>
                <w:color w:val="000000"/>
                <w:szCs w:val="21"/>
              </w:rPr>
              <w:t>导师徐博闻</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疫情中的联合国实习</w:t>
            </w:r>
          </w:p>
        </w:tc>
        <w:tc>
          <w:tcPr>
            <w:tcW w:w="1237" w:type="dxa"/>
            <w:vMerge w:val="continue"/>
            <w:noWrap w:val="0"/>
            <w:vAlign w:val="center"/>
          </w:tcPr>
          <w:p>
            <w:pP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496" w:type="dxa"/>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第一天</w:t>
            </w:r>
          </w:p>
        </w:tc>
        <w:tc>
          <w:tcPr>
            <w:tcW w:w="6407" w:type="dxa"/>
            <w:gridSpan w:val="3"/>
            <w:tcBorders>
              <w:left w:val="single" w:color="auto" w:sz="4" w:space="0"/>
            </w:tcBorders>
            <w:noWrap w:val="0"/>
            <w:vAlign w:val="center"/>
          </w:tcPr>
          <w:p>
            <w:pPr>
              <w:tabs>
                <w:tab w:val="left" w:pos="1142"/>
              </w:tabs>
              <w:jc w:val="left"/>
            </w:pPr>
            <w:r>
              <w:rPr>
                <w:rFonts w:hint="eastAsia" w:ascii="仿宋" w:hAnsi="仿宋" w:eastAsia="仿宋" w:cs="仿宋"/>
                <w:color w:val="000000"/>
                <w:szCs w:val="21"/>
              </w:rPr>
              <w:t>抵达上海</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1496" w:type="dxa"/>
            <w:vMerge w:val="restart"/>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第二天</w:t>
            </w:r>
          </w:p>
        </w:tc>
        <w:tc>
          <w:tcPr>
            <w:tcW w:w="1402" w:type="dxa"/>
            <w:tcBorders>
              <w:left w:val="single" w:color="auto" w:sz="4" w:space="0"/>
            </w:tcBorders>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线下开营</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上海赴外文化交流中心--陈超主任</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线下开营仪式</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上海赴外文化交流中心主任致欢迎词</w:t>
            </w:r>
          </w:p>
        </w:tc>
        <w:tc>
          <w:tcPr>
            <w:tcW w:w="1237" w:type="dxa"/>
            <w:noWrap w:val="0"/>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上海陆家嘴环路9</w:t>
            </w:r>
            <w:r>
              <w:rPr>
                <w:rFonts w:ascii="仿宋" w:hAnsi="仿宋" w:eastAsia="仿宋" w:cs="仿宋"/>
                <w:color w:val="000000"/>
                <w:szCs w:val="21"/>
              </w:rPr>
              <w:t>58</w:t>
            </w:r>
            <w:r>
              <w:rPr>
                <w:rFonts w:hint="eastAsia" w:ascii="仿宋" w:hAnsi="仿宋" w:eastAsia="仿宋" w:cs="仿宋"/>
                <w:color w:val="000000"/>
                <w:szCs w:val="21"/>
              </w:rPr>
              <w:t>号3</w:t>
            </w:r>
            <w:r>
              <w:rPr>
                <w:rFonts w:ascii="仿宋" w:hAnsi="仿宋" w:eastAsia="仿宋" w:cs="仿宋"/>
                <w:color w:val="000000"/>
                <w:szCs w:val="21"/>
              </w:rPr>
              <w:t>6</w:t>
            </w:r>
            <w:r>
              <w:rPr>
                <w:rFonts w:hint="eastAsia" w:ascii="仿宋" w:hAnsi="仿宋" w:eastAsia="仿宋" w:cs="仿宋"/>
                <w:color w:val="000000"/>
                <w:szCs w:val="21"/>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1496"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1402" w:type="dxa"/>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爱国主义</w:t>
            </w:r>
          </w:p>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教育</w:t>
            </w: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w:t>
            </w:r>
            <w:r>
              <w:rPr>
                <w:rFonts w:ascii="仿宋" w:hAnsi="仿宋" w:eastAsia="仿宋" w:cs="仿宋"/>
                <w:color w:val="000000"/>
                <w:szCs w:val="21"/>
              </w:rPr>
              <w:t>—</w:t>
            </w:r>
            <w:r>
              <w:rPr>
                <w:rFonts w:hint="eastAsia" w:ascii="仿宋" w:hAnsi="仿宋" w:eastAsia="仿宋" w:cs="仿宋"/>
                <w:color w:val="000000"/>
                <w:szCs w:val="21"/>
              </w:rPr>
              <w:t>工作人员</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参访中共一大会址、纪念馆</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中共一大会址黄浦区黄陂南路374号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96" w:type="dxa"/>
            <w:vMerge w:val="restart"/>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第三天</w:t>
            </w:r>
          </w:p>
        </w:tc>
        <w:tc>
          <w:tcPr>
            <w:tcW w:w="1402" w:type="dxa"/>
            <w:vMerge w:val="restart"/>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走进联合国系列活动</w:t>
            </w:r>
          </w:p>
        </w:tc>
        <w:tc>
          <w:tcPr>
            <w:tcW w:w="2348"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联合国工业发展组织全球创新网络项目上海全球科技创新中心——刘晶博士</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联合国工业发展组织全球创新网络项目上海全球科技创新中心介绍</w:t>
            </w:r>
          </w:p>
        </w:tc>
        <w:tc>
          <w:tcPr>
            <w:tcW w:w="1237" w:type="dxa"/>
            <w:vMerge w:val="restart"/>
            <w:noWrap w:val="0"/>
            <w:vAlign w:val="center"/>
          </w:tcPr>
          <w:p>
            <w:pPr>
              <w:jc w:val="center"/>
              <w:textAlignment w:val="center"/>
              <w:rPr>
                <w:rFonts w:ascii="仿宋" w:hAnsi="仿宋" w:eastAsia="仿宋" w:cs="仿宋"/>
                <w:color w:val="000000"/>
                <w:szCs w:val="21"/>
              </w:rPr>
            </w:pPr>
            <w:r>
              <w:rPr>
                <w:rFonts w:ascii="仿宋" w:hAnsi="仿宋" w:eastAsia="仿宋" w:cs="仿宋"/>
                <w:color w:val="000000"/>
                <w:szCs w:val="21"/>
              </w:rPr>
              <w:t>上海市虹口区东长治路588号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1496"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联合国工业发展组织全球创新网络项目碳中和全球促进中心——陈斌博士</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走进联合国系列活动——联合国可持续发展目标活动</w:t>
            </w:r>
          </w:p>
          <w:p>
            <w:pPr>
              <w:widowControl/>
              <w:jc w:val="left"/>
              <w:textAlignment w:val="center"/>
              <w:rPr>
                <w:rFonts w:hint="eastAsia" w:ascii="仿宋" w:hAnsi="仿宋" w:eastAsia="仿宋" w:cs="仿宋"/>
                <w:color w:val="000000"/>
                <w:szCs w:val="21"/>
              </w:rPr>
            </w:pPr>
            <w:r>
              <w:rPr>
                <w:rFonts w:ascii="仿宋" w:hAnsi="仿宋" w:eastAsia="仿宋" w:cs="仿宋"/>
                <w:color w:val="000000"/>
                <w:szCs w:val="21"/>
              </w:rPr>
              <w:t>ESG</w:t>
            </w:r>
            <w:r>
              <w:rPr>
                <w:rFonts w:hint="eastAsia" w:ascii="仿宋" w:hAnsi="仿宋" w:eastAsia="仿宋" w:cs="仿宋"/>
                <w:color w:val="000000"/>
                <w:szCs w:val="21"/>
              </w:rPr>
              <w:t>相关内容介绍及案例分享</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496" w:type="dxa"/>
            <w:vMerge w:val="restart"/>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第四天</w:t>
            </w:r>
          </w:p>
        </w:tc>
        <w:tc>
          <w:tcPr>
            <w:tcW w:w="1402" w:type="dxa"/>
            <w:vMerge w:val="restart"/>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欧盟中国委员会</w:t>
            </w:r>
          </w:p>
        </w:tc>
        <w:tc>
          <w:tcPr>
            <w:tcW w:w="2348"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欧盟中国委员会长三角合作中心——陈平主任</w:t>
            </w: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欧盟中国委员会介绍</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欧盟中国委员会长三角合作中心介绍</w:t>
            </w:r>
          </w:p>
        </w:tc>
        <w:tc>
          <w:tcPr>
            <w:tcW w:w="1237"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上海市闵行区浦锦街道浦星公路5</w:t>
            </w:r>
            <w:r>
              <w:rPr>
                <w:rFonts w:ascii="仿宋" w:hAnsi="仿宋" w:eastAsia="仿宋" w:cs="仿宋"/>
                <w:color w:val="000000"/>
                <w:szCs w:val="21"/>
              </w:rPr>
              <w:t>67</w:t>
            </w:r>
            <w:r>
              <w:rPr>
                <w:rFonts w:hint="eastAsia" w:ascii="仿宋" w:hAnsi="仿宋" w:eastAsia="仿宋" w:cs="仿宋"/>
                <w:color w:val="000000"/>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96"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2348"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欧盟中国委员会长三角合作中心——沈霞代表</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ascii="仿宋" w:hAnsi="仿宋" w:eastAsia="仿宋" w:cs="仿宋"/>
                <w:color w:val="000000"/>
                <w:szCs w:val="21"/>
              </w:rPr>
              <w:t>欧盟中国·国际跨境电商产业园</w:t>
            </w:r>
            <w:r>
              <w:rPr>
                <w:rFonts w:hint="eastAsia" w:ascii="仿宋" w:hAnsi="仿宋" w:eastAsia="仿宋" w:cs="仿宋"/>
                <w:color w:val="000000"/>
                <w:szCs w:val="21"/>
              </w:rPr>
              <w:t>参观</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496" w:type="dxa"/>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第五天</w:t>
            </w:r>
          </w:p>
        </w:tc>
        <w:tc>
          <w:tcPr>
            <w:tcW w:w="6407" w:type="dxa"/>
            <w:gridSpan w:val="3"/>
            <w:tcBorders>
              <w:left w:val="single" w:color="auto" w:sz="4" w:space="0"/>
            </w:tcBorders>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出发扬州</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扬州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6" w:type="dxa"/>
            <w:vMerge w:val="restart"/>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第六天</w:t>
            </w:r>
          </w:p>
        </w:tc>
        <w:tc>
          <w:tcPr>
            <w:tcW w:w="1402" w:type="dxa"/>
            <w:vMerge w:val="restart"/>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ascii="仿宋" w:hAnsi="仿宋" w:eastAsia="仿宋" w:cs="仿宋"/>
                <w:color w:val="000000"/>
                <w:szCs w:val="21"/>
              </w:rPr>
              <w:t>WCCO</w:t>
            </w:r>
          </w:p>
        </w:tc>
        <w:tc>
          <w:tcPr>
            <w:tcW w:w="2348"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世界运河历史文化城市合作组织（</w:t>
            </w:r>
            <w:r>
              <w:rPr>
                <w:rFonts w:ascii="仿宋" w:hAnsi="仿宋" w:eastAsia="仿宋" w:cs="仿宋"/>
                <w:color w:val="000000"/>
                <w:szCs w:val="21"/>
              </w:rPr>
              <w:t>WCCO</w:t>
            </w:r>
            <w:r>
              <w:rPr>
                <w:rFonts w:hint="eastAsia" w:ascii="仿宋" w:hAnsi="仿宋" w:eastAsia="仿宋" w:cs="仿宋"/>
                <w:color w:val="000000"/>
                <w:szCs w:val="21"/>
              </w:rPr>
              <w:t>）秘书处</w:t>
            </w:r>
            <w:r>
              <w:rPr>
                <w:rFonts w:ascii="仿宋" w:hAnsi="仿宋" w:eastAsia="仿宋" w:cs="仿宋"/>
                <w:color w:val="000000"/>
                <w:szCs w:val="21"/>
              </w:rPr>
              <w:t>—</w:t>
            </w:r>
            <w:r>
              <w:rPr>
                <w:rFonts w:hint="eastAsia" w:ascii="仿宋" w:hAnsi="仿宋" w:eastAsia="仿宋" w:cs="仿宋"/>
                <w:color w:val="000000"/>
                <w:szCs w:val="21"/>
              </w:rPr>
              <w:t>李宏明部长</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参访世界运河历史文化城市合作组织（</w:t>
            </w:r>
            <w:r>
              <w:rPr>
                <w:rFonts w:ascii="仿宋" w:hAnsi="仿宋" w:eastAsia="仿宋" w:cs="仿宋"/>
                <w:color w:val="000000"/>
                <w:szCs w:val="21"/>
              </w:rPr>
              <w:t>WCCO</w:t>
            </w:r>
            <w:r>
              <w:rPr>
                <w:rFonts w:hint="eastAsia" w:ascii="仿宋" w:hAnsi="仿宋" w:eastAsia="仿宋" w:cs="仿宋"/>
                <w:color w:val="000000"/>
                <w:szCs w:val="21"/>
              </w:rPr>
              <w:t>）三湾园区</w:t>
            </w:r>
          </w:p>
        </w:tc>
        <w:tc>
          <w:tcPr>
            <w:tcW w:w="1237"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扬州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1496"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2348" w:type="dxa"/>
            <w:vMerge w:val="continue"/>
            <w:noWrap w:val="0"/>
            <w:vAlign w:val="center"/>
          </w:tcPr>
          <w:p>
            <w:pPr>
              <w:widowControl/>
              <w:textAlignment w:val="center"/>
              <w:rPr>
                <w:rFonts w:hint="eastAsia" w:ascii="仿宋" w:hAnsi="仿宋" w:eastAsia="仿宋" w:cs="仿宋"/>
                <w:color w:val="000000"/>
                <w:szCs w:val="21"/>
              </w:rPr>
            </w:pPr>
          </w:p>
        </w:tc>
        <w:tc>
          <w:tcPr>
            <w:tcW w:w="2657"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世界运河历史文化城市合作组织介绍（背景、运作模式、工作分工）</w:t>
            </w:r>
          </w:p>
          <w:p>
            <w:pPr>
              <w:jc w:val="left"/>
              <w:rPr>
                <w:rFonts w:hint="eastAsia" w:ascii="仿宋" w:hAnsi="仿宋" w:eastAsia="仿宋" w:cs="仿宋"/>
                <w:color w:val="000000"/>
                <w:szCs w:val="21"/>
              </w:rPr>
            </w:pPr>
            <w:r>
              <w:rPr>
                <w:rFonts w:hint="eastAsia" w:ascii="仿宋" w:hAnsi="仿宋" w:eastAsia="仿宋" w:cs="仿宋"/>
                <w:color w:val="000000"/>
                <w:szCs w:val="21"/>
              </w:rPr>
              <w:t>世界运河历史文化城市合作组织发展需要什么样的人才及要求</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中国注册国际组织发展历程</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496" w:type="dxa"/>
            <w:vMerge w:val="restart"/>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第七天</w:t>
            </w:r>
          </w:p>
        </w:tc>
        <w:tc>
          <w:tcPr>
            <w:tcW w:w="1402" w:type="dxa"/>
            <w:vMerge w:val="restart"/>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ascii="仿宋" w:hAnsi="仿宋" w:eastAsia="仿宋" w:cs="仿宋"/>
                <w:color w:val="000000"/>
                <w:szCs w:val="21"/>
              </w:rPr>
              <w:t>WCCO</w:t>
            </w:r>
          </w:p>
        </w:tc>
        <w:tc>
          <w:tcPr>
            <w:tcW w:w="2348" w:type="dxa"/>
            <w:vMerge w:val="restart"/>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szCs w:val="21"/>
              </w:rPr>
              <w:t>世界运河历史文化城市合作组织（</w:t>
            </w:r>
            <w:r>
              <w:rPr>
                <w:rFonts w:ascii="仿宋" w:hAnsi="仿宋" w:eastAsia="仿宋" w:cs="仿宋"/>
                <w:color w:val="000000"/>
                <w:szCs w:val="21"/>
              </w:rPr>
              <w:t>WCCO</w:t>
            </w:r>
            <w:r>
              <w:rPr>
                <w:rFonts w:hint="eastAsia" w:ascii="仿宋" w:hAnsi="仿宋" w:eastAsia="仿宋" w:cs="仿宋"/>
                <w:color w:val="000000"/>
                <w:szCs w:val="21"/>
              </w:rPr>
              <w:t>）秘书处</w:t>
            </w:r>
            <w:r>
              <w:rPr>
                <w:rFonts w:ascii="仿宋" w:hAnsi="仿宋" w:eastAsia="仿宋" w:cs="仿宋"/>
                <w:color w:val="000000"/>
                <w:szCs w:val="21"/>
              </w:rPr>
              <w:t>—</w:t>
            </w:r>
            <w:r>
              <w:rPr>
                <w:rFonts w:hint="eastAsia" w:ascii="仿宋" w:hAnsi="仿宋" w:eastAsia="仿宋" w:cs="仿宋"/>
                <w:color w:val="000000"/>
                <w:szCs w:val="21"/>
              </w:rPr>
              <w:t>工作人员</w:t>
            </w:r>
          </w:p>
          <w:p>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上海赴外文化交流中心--陈超主任</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参访大运河博物馆</w:t>
            </w:r>
          </w:p>
        </w:tc>
        <w:tc>
          <w:tcPr>
            <w:tcW w:w="1237" w:type="dxa"/>
            <w:vMerge w:val="restart"/>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扬州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496"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1402" w:type="dxa"/>
            <w:vMerge w:val="continue"/>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p>
        </w:tc>
        <w:tc>
          <w:tcPr>
            <w:tcW w:w="2348" w:type="dxa"/>
            <w:vMerge w:val="continue"/>
            <w:noWrap w:val="0"/>
            <w:vAlign w:val="center"/>
          </w:tcPr>
          <w:p>
            <w:pPr>
              <w:widowControl/>
              <w:textAlignment w:val="center"/>
              <w:rPr>
                <w:rFonts w:hint="eastAsia" w:ascii="仿宋" w:hAnsi="仿宋" w:eastAsia="仿宋" w:cs="仿宋"/>
                <w:color w:val="000000"/>
                <w:szCs w:val="21"/>
              </w:rPr>
            </w:pP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分小组调研主题路演</w:t>
            </w:r>
          </w:p>
        </w:tc>
        <w:tc>
          <w:tcPr>
            <w:tcW w:w="1237" w:type="dxa"/>
            <w:vMerge w:val="continue"/>
            <w:noWrap w:val="0"/>
            <w:vAlign w:val="center"/>
          </w:tcPr>
          <w:p>
            <w:pPr>
              <w:widowControl/>
              <w:jc w:val="center"/>
              <w:textAlignment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7" w:hRule="atLeast"/>
        </w:trPr>
        <w:tc>
          <w:tcPr>
            <w:tcW w:w="1496" w:type="dxa"/>
            <w:tcBorders>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第八天</w:t>
            </w:r>
          </w:p>
        </w:tc>
        <w:tc>
          <w:tcPr>
            <w:tcW w:w="1402" w:type="dxa"/>
            <w:tcBorders>
              <w:lef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闭营仪式</w:t>
            </w:r>
          </w:p>
        </w:tc>
        <w:tc>
          <w:tcPr>
            <w:tcW w:w="2348"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szCs w:val="21"/>
              </w:rPr>
              <w:t>世界运河历史文化城市合作组织（</w:t>
            </w:r>
            <w:r>
              <w:rPr>
                <w:rFonts w:ascii="仿宋" w:hAnsi="仿宋" w:eastAsia="仿宋" w:cs="仿宋"/>
                <w:color w:val="000000"/>
                <w:szCs w:val="21"/>
              </w:rPr>
              <w:t>WCCO</w:t>
            </w:r>
            <w:r>
              <w:rPr>
                <w:rFonts w:hint="eastAsia" w:ascii="仿宋" w:hAnsi="仿宋" w:eastAsia="仿宋" w:cs="仿宋"/>
                <w:color w:val="000000"/>
                <w:szCs w:val="21"/>
              </w:rPr>
              <w:t>）秘书处</w:t>
            </w:r>
            <w:r>
              <w:rPr>
                <w:rFonts w:ascii="仿宋" w:hAnsi="仿宋" w:eastAsia="仿宋" w:cs="仿宋"/>
                <w:color w:val="000000"/>
                <w:szCs w:val="21"/>
              </w:rPr>
              <w:t>—</w:t>
            </w:r>
            <w:r>
              <w:rPr>
                <w:rFonts w:hint="eastAsia" w:ascii="仿宋" w:hAnsi="仿宋" w:eastAsia="仿宋" w:cs="仿宋"/>
                <w:color w:val="000000"/>
                <w:szCs w:val="21"/>
              </w:rPr>
              <w:t>李宏明部长</w:t>
            </w:r>
          </w:p>
          <w:p>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上海赴外文化交流中心--陈超主任</w:t>
            </w:r>
          </w:p>
        </w:tc>
        <w:tc>
          <w:tcPr>
            <w:tcW w:w="2657" w:type="dxa"/>
            <w:noWrap w:val="0"/>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上海赴外文化交流中心陈超主任总结</w:t>
            </w:r>
          </w:p>
          <w:p>
            <w:pPr>
              <w:widowControl/>
              <w:textAlignment w:val="center"/>
              <w:rPr>
                <w:rFonts w:ascii="仿宋" w:hAnsi="仿宋" w:eastAsia="仿宋" w:cs="仿宋"/>
                <w:color w:val="000000"/>
                <w:szCs w:val="21"/>
              </w:rPr>
            </w:pPr>
            <w:r>
              <w:rPr>
                <w:rFonts w:hint="eastAsia" w:ascii="仿宋" w:hAnsi="仿宋" w:eastAsia="仿宋" w:cs="仿宋"/>
                <w:color w:val="000000"/>
                <w:szCs w:val="21"/>
              </w:rPr>
              <w:t>世界运河历史文化城市合作组织（</w:t>
            </w:r>
            <w:r>
              <w:rPr>
                <w:rFonts w:ascii="仿宋" w:hAnsi="仿宋" w:eastAsia="仿宋" w:cs="仿宋"/>
                <w:color w:val="000000"/>
                <w:szCs w:val="21"/>
              </w:rPr>
              <w:t>WCCO</w:t>
            </w:r>
            <w:r>
              <w:rPr>
                <w:rFonts w:hint="eastAsia" w:ascii="仿宋" w:hAnsi="仿宋" w:eastAsia="仿宋" w:cs="仿宋"/>
                <w:color w:val="000000"/>
                <w:szCs w:val="21"/>
              </w:rPr>
              <w:t>）秘书处李宏明部长发言</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学生代表发言</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学校教师代表发言</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合影留念</w:t>
            </w:r>
          </w:p>
        </w:tc>
        <w:tc>
          <w:tcPr>
            <w:tcW w:w="1237" w:type="dxa"/>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扬州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140" w:type="dxa"/>
            <w:gridSpan w:val="5"/>
            <w:vMerge w:val="restart"/>
            <w:noWrap w:val="0"/>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严格按照上海赴外文化交流中心完成项目实训的同学将获得由上海赴外和其中一家参访的国际组织联合颁发的</w:t>
            </w:r>
            <w:r>
              <w:rPr>
                <w:rFonts w:hint="eastAsia" w:ascii="仿宋" w:hAnsi="仿宋" w:eastAsia="仿宋" w:cs="仿宋"/>
                <w:color w:val="000000"/>
                <w:szCs w:val="21"/>
                <w:lang w:val="en-US" w:eastAsia="zh-CN"/>
              </w:rPr>
              <w:t>参与</w:t>
            </w:r>
            <w:r>
              <w:rPr>
                <w:rFonts w:hint="eastAsia" w:ascii="仿宋" w:hAnsi="仿宋" w:eastAsia="仿宋" w:cs="仿宋"/>
                <w:color w:val="000000"/>
                <w:szCs w:val="21"/>
              </w:rPr>
              <w:t>证书</w:t>
            </w:r>
            <w:r>
              <w:rPr>
                <w:rFonts w:hint="eastAsia" w:ascii="仿宋" w:hAnsi="仿宋" w:eastAsia="仿宋" w:cs="仿宋"/>
                <w:color w:val="000000"/>
                <w:szCs w:val="21"/>
                <w:lang w:eastAsia="zh-CN"/>
              </w:rPr>
              <w:t>，</w:t>
            </w:r>
            <w:r>
              <w:rPr>
                <w:rFonts w:hint="eastAsia" w:ascii="仿宋" w:hAnsi="仿宋" w:eastAsia="仿宋" w:cs="仿宋"/>
                <w:color w:val="000000"/>
                <w:szCs w:val="21"/>
              </w:rPr>
              <w:t>上海赴外国际组织实习生预备营结营证书</w:t>
            </w:r>
            <w:r>
              <w:rPr>
                <w:rFonts w:hint="eastAsia" w:ascii="仿宋" w:hAnsi="仿宋" w:eastAsia="仿宋" w:cs="仿宋"/>
                <w:color w:val="000000"/>
                <w:szCs w:val="21"/>
                <w:lang w:eastAsia="zh-CN"/>
              </w:rPr>
              <w:t>。</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注：因</w:t>
            </w:r>
            <w:r>
              <w:rPr>
                <w:rFonts w:ascii="仿宋" w:hAnsi="仿宋" w:eastAsia="仿宋" w:cs="仿宋"/>
                <w:color w:val="000000"/>
                <w:szCs w:val="21"/>
              </w:rPr>
              <w:t>受新冠疫情影响，主办方可能会</w:t>
            </w:r>
            <w:r>
              <w:rPr>
                <w:rFonts w:hint="eastAsia" w:ascii="仿宋" w:hAnsi="仿宋" w:eastAsia="仿宋" w:cs="仿宋"/>
                <w:color w:val="000000"/>
                <w:szCs w:val="21"/>
              </w:rPr>
              <w:t>根据国家疫情防控政策的要求而改变国际组织的参访单。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140" w:type="dxa"/>
            <w:gridSpan w:val="5"/>
            <w:vMerge w:val="continue"/>
            <w:noWrap w:val="0"/>
            <w:vAlign w:val="center"/>
          </w:tcPr>
          <w:p>
            <w:pPr>
              <w:jc w:val="left"/>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9140" w:type="dxa"/>
            <w:gridSpan w:val="5"/>
            <w:vMerge w:val="continue"/>
            <w:noWrap w:val="0"/>
            <w:vAlign w:val="center"/>
          </w:tcPr>
          <w:p>
            <w:pPr>
              <w:jc w:val="left"/>
              <w:rPr>
                <w:rFonts w:hint="eastAsia" w:ascii="仿宋" w:hAnsi="仿宋" w:eastAsia="仿宋" w:cs="仿宋"/>
                <w:color w:val="00000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jNmZGY5YzlmNzBmMGFjNjk0ZWMxNmM5Mjc1NzYifQ=="/>
  </w:docVars>
  <w:rsids>
    <w:rsidRoot w:val="5EAA3BEB"/>
    <w:rsid w:val="5EAA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2022-10-31T06:23:00Z</dcterms:created>
  <dc:creator>Administrator</dc:creator>
  <cp:lastModifiedBy>Administrator</cp:lastModifiedBy>
  <dcterms:modified xsi:type="dcterms:W3CDTF">2022-10-31T06:24:25Z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239FE5D9092949C18B670DF3BA6AA136</vt:lpwstr>
  </property>
</Properties>
</file>